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74640" w14:textId="77777777" w:rsidR="008559A6" w:rsidRDefault="008559A6" w:rsidP="008559A6">
      <w:pPr>
        <w:pStyle w:val="NoSpacing"/>
      </w:pPr>
      <w:r w:rsidRPr="008559A6">
        <w:rPr>
          <w:b/>
          <w:noProof/>
          <w:sz w:val="26"/>
          <w:szCs w:val="26"/>
        </w:rPr>
        <w:t>Overview:</w:t>
      </w:r>
      <w:r w:rsidRPr="008559A6">
        <w:rPr>
          <w:b/>
          <w:noProof/>
          <w:sz w:val="28"/>
          <w:szCs w:val="28"/>
        </w:rPr>
        <w:t xml:space="preserve"> </w:t>
      </w:r>
      <w:r>
        <w:rPr>
          <w:b/>
          <w:noProof/>
          <w:sz w:val="28"/>
          <w:szCs w:val="28"/>
        </w:rPr>
        <w:br/>
      </w:r>
      <w:r>
        <w:rPr>
          <w:b/>
          <w:sz w:val="28"/>
          <w:szCs w:val="28"/>
        </w:rPr>
        <w:br/>
      </w:r>
      <w:r>
        <w:t xml:space="preserve">The IRB currently charges a fee for the Initial review and Renewal (continuing review) but not for Modifications.  If the study requires greater than annual review, the fee is only charged once a year. Studies that are subject to the IRB review fees will not be processed until the fees are paid in full.  </w:t>
      </w:r>
    </w:p>
    <w:p w14:paraId="000EF19A" w14:textId="683CFCF0" w:rsidR="008559A6" w:rsidRDefault="00D80E15" w:rsidP="008559A6">
      <w:pPr>
        <w:pStyle w:val="NoSpacing"/>
      </w:pPr>
      <w:r>
        <w:br/>
      </w:r>
      <w:r w:rsidR="008559A6">
        <w:t>There may be circumstances when the industry collaborator is not funding the entire study but is supporting the study by providing only the drug or other nominal support.  The investigator can request a waiver of the fee review and under appropriate circumstances, the fee is not required.</w:t>
      </w:r>
    </w:p>
    <w:p w14:paraId="58574715" w14:textId="77777777" w:rsidR="008559A6" w:rsidRDefault="008559A6" w:rsidP="008559A6">
      <w:pPr>
        <w:pStyle w:val="NoSpacing"/>
      </w:pPr>
    </w:p>
    <w:p w14:paraId="274EDBEE" w14:textId="77777777" w:rsidR="008559A6" w:rsidRPr="000F4D06" w:rsidRDefault="008559A6" w:rsidP="008559A6">
      <w:pPr>
        <w:pStyle w:val="NoSpacing"/>
        <w:rPr>
          <w:b/>
          <w:sz w:val="26"/>
          <w:szCs w:val="26"/>
        </w:rPr>
      </w:pPr>
      <w:r w:rsidRPr="008559A6">
        <w:rPr>
          <w:b/>
          <w:sz w:val="26"/>
          <w:szCs w:val="26"/>
        </w:rPr>
        <w:t>Description:</w:t>
      </w:r>
      <w:r w:rsidR="000F4D06">
        <w:rPr>
          <w:b/>
          <w:sz w:val="26"/>
          <w:szCs w:val="26"/>
        </w:rPr>
        <w:br/>
      </w:r>
    </w:p>
    <w:p w14:paraId="1757FEC6" w14:textId="68D30C80" w:rsidR="008559A6" w:rsidRDefault="008559A6" w:rsidP="008559A6">
      <w:pPr>
        <w:pStyle w:val="NoSpacing"/>
      </w:pPr>
      <w:r w:rsidRPr="008559A6">
        <w:t xml:space="preserve">The review fee is collected or waived by the Business Manager for Research Conduct and Compliance Office.  </w:t>
      </w:r>
      <w:r>
        <w:br/>
      </w:r>
    </w:p>
    <w:tbl>
      <w:tblPr>
        <w:tblStyle w:val="TableGrid"/>
        <w:tblW w:w="0" w:type="auto"/>
        <w:tblInd w:w="288" w:type="dxa"/>
        <w:tblLook w:val="04A0" w:firstRow="1" w:lastRow="0" w:firstColumn="1" w:lastColumn="0" w:noHBand="0" w:noVBand="1"/>
      </w:tblPr>
      <w:tblGrid>
        <w:gridCol w:w="1890"/>
        <w:gridCol w:w="3510"/>
        <w:gridCol w:w="2250"/>
      </w:tblGrid>
      <w:tr w:rsidR="008559A6" w14:paraId="1051374B" w14:textId="77777777" w:rsidTr="004A40F7">
        <w:tc>
          <w:tcPr>
            <w:tcW w:w="7650" w:type="dxa"/>
            <w:gridSpan w:val="3"/>
            <w:shd w:val="clear" w:color="auto" w:fill="DBE5F1" w:themeFill="accent1" w:themeFillTint="33"/>
          </w:tcPr>
          <w:p w14:paraId="25D5A615" w14:textId="1904CD19" w:rsidR="008559A6" w:rsidRPr="00D80E15" w:rsidRDefault="00D80E15" w:rsidP="004A40F7">
            <w:pPr>
              <w:jc w:val="center"/>
              <w:rPr>
                <w:b/>
              </w:rPr>
            </w:pPr>
            <w:r w:rsidRPr="00D80E15">
              <w:rPr>
                <w:rFonts w:eastAsia="Times New Roman" w:cs="Times New Roman"/>
                <w:b/>
                <w:iCs/>
                <w:color w:val="000066"/>
              </w:rPr>
              <w:t>Fee Structure</w:t>
            </w:r>
            <w:r>
              <w:rPr>
                <w:rFonts w:eastAsia="Times New Roman" w:cs="Times New Roman"/>
                <w:b/>
                <w:iCs/>
                <w:color w:val="000066"/>
              </w:rPr>
              <w:t xml:space="preserve"> (effective 3.1.2019)</w:t>
            </w:r>
          </w:p>
        </w:tc>
        <w:bookmarkStart w:id="0" w:name="_GoBack"/>
        <w:bookmarkEnd w:id="0"/>
      </w:tr>
      <w:tr w:rsidR="008559A6" w:rsidRPr="006255FA" w14:paraId="29E6D072" w14:textId="77777777" w:rsidTr="004A40F7">
        <w:tc>
          <w:tcPr>
            <w:tcW w:w="1890" w:type="dxa"/>
            <w:shd w:val="clear" w:color="auto" w:fill="auto"/>
          </w:tcPr>
          <w:p w14:paraId="16C2EC8D" w14:textId="77777777" w:rsidR="008559A6" w:rsidRPr="006255FA" w:rsidRDefault="008559A6" w:rsidP="004A40F7">
            <w:pPr>
              <w:rPr>
                <w:b/>
              </w:rPr>
            </w:pPr>
            <w:r w:rsidRPr="006255FA">
              <w:rPr>
                <w:b/>
              </w:rPr>
              <w:t>Project</w:t>
            </w:r>
          </w:p>
        </w:tc>
        <w:tc>
          <w:tcPr>
            <w:tcW w:w="3510" w:type="dxa"/>
            <w:shd w:val="clear" w:color="auto" w:fill="auto"/>
          </w:tcPr>
          <w:p w14:paraId="4EF98875" w14:textId="77777777" w:rsidR="008559A6" w:rsidRPr="006255FA" w:rsidRDefault="008559A6" w:rsidP="004A40F7">
            <w:pPr>
              <w:rPr>
                <w:b/>
              </w:rPr>
            </w:pPr>
            <w:r w:rsidRPr="006255FA">
              <w:rPr>
                <w:b/>
              </w:rPr>
              <w:t>Review process</w:t>
            </w:r>
          </w:p>
        </w:tc>
        <w:tc>
          <w:tcPr>
            <w:tcW w:w="2250" w:type="dxa"/>
            <w:shd w:val="clear" w:color="auto" w:fill="auto"/>
          </w:tcPr>
          <w:p w14:paraId="55F4C2ED" w14:textId="77777777" w:rsidR="008559A6" w:rsidRPr="006255FA" w:rsidRDefault="008559A6" w:rsidP="004A40F7">
            <w:pPr>
              <w:rPr>
                <w:b/>
              </w:rPr>
            </w:pPr>
            <w:r w:rsidRPr="006255FA">
              <w:rPr>
                <w:b/>
              </w:rPr>
              <w:t>Fee</w:t>
            </w:r>
          </w:p>
        </w:tc>
      </w:tr>
      <w:tr w:rsidR="008559A6" w14:paraId="15D808BD" w14:textId="77777777" w:rsidTr="004A40F7">
        <w:tc>
          <w:tcPr>
            <w:tcW w:w="1890" w:type="dxa"/>
            <w:shd w:val="clear" w:color="auto" w:fill="auto"/>
          </w:tcPr>
          <w:p w14:paraId="16D770CB" w14:textId="77777777" w:rsidR="008559A6" w:rsidRDefault="008559A6" w:rsidP="004A40F7">
            <w:r>
              <w:t>Initial Review</w:t>
            </w:r>
          </w:p>
        </w:tc>
        <w:tc>
          <w:tcPr>
            <w:tcW w:w="3510" w:type="dxa"/>
            <w:shd w:val="clear" w:color="auto" w:fill="auto"/>
          </w:tcPr>
          <w:p w14:paraId="620EEB3E" w14:textId="77777777" w:rsidR="008559A6" w:rsidRDefault="008559A6" w:rsidP="004A40F7">
            <w:r>
              <w:t xml:space="preserve">Full Board </w:t>
            </w:r>
          </w:p>
        </w:tc>
        <w:tc>
          <w:tcPr>
            <w:tcW w:w="2250" w:type="dxa"/>
            <w:shd w:val="clear" w:color="auto" w:fill="auto"/>
          </w:tcPr>
          <w:p w14:paraId="71639F02" w14:textId="24C72317" w:rsidR="008559A6" w:rsidRDefault="008559A6" w:rsidP="004A40F7">
            <w:r>
              <w:t>$2</w:t>
            </w:r>
            <w:r w:rsidR="00D80E15">
              <w:t>5</w:t>
            </w:r>
            <w:r>
              <w:t>00</w:t>
            </w:r>
          </w:p>
        </w:tc>
      </w:tr>
      <w:tr w:rsidR="008559A6" w14:paraId="2FDD9EC8" w14:textId="77777777" w:rsidTr="004A40F7">
        <w:tc>
          <w:tcPr>
            <w:tcW w:w="1890" w:type="dxa"/>
            <w:shd w:val="clear" w:color="auto" w:fill="auto"/>
          </w:tcPr>
          <w:p w14:paraId="1BD3FBA0" w14:textId="77777777" w:rsidR="008559A6" w:rsidRDefault="008559A6" w:rsidP="004A40F7">
            <w:r>
              <w:t>Renewal</w:t>
            </w:r>
          </w:p>
        </w:tc>
        <w:tc>
          <w:tcPr>
            <w:tcW w:w="3510" w:type="dxa"/>
            <w:shd w:val="clear" w:color="auto" w:fill="auto"/>
          </w:tcPr>
          <w:p w14:paraId="2E68EF1C" w14:textId="77777777" w:rsidR="008559A6" w:rsidRDefault="008559A6" w:rsidP="004A40F7">
            <w:r>
              <w:t xml:space="preserve">Full Board </w:t>
            </w:r>
          </w:p>
        </w:tc>
        <w:tc>
          <w:tcPr>
            <w:tcW w:w="2250" w:type="dxa"/>
            <w:shd w:val="clear" w:color="auto" w:fill="auto"/>
          </w:tcPr>
          <w:p w14:paraId="0AA9D1AD" w14:textId="5AC4A601" w:rsidR="008559A6" w:rsidRDefault="008559A6" w:rsidP="004A40F7">
            <w:r>
              <w:t>$1</w:t>
            </w:r>
            <w:r w:rsidR="00D80E15">
              <w:t>5</w:t>
            </w:r>
            <w:r>
              <w:t>00</w:t>
            </w:r>
          </w:p>
        </w:tc>
      </w:tr>
      <w:tr w:rsidR="008559A6" w14:paraId="7C55196F" w14:textId="77777777" w:rsidTr="004A40F7">
        <w:tc>
          <w:tcPr>
            <w:tcW w:w="1890" w:type="dxa"/>
            <w:shd w:val="clear" w:color="auto" w:fill="auto"/>
          </w:tcPr>
          <w:p w14:paraId="64213CB0" w14:textId="77777777" w:rsidR="008559A6" w:rsidRDefault="008559A6" w:rsidP="004A40F7"/>
        </w:tc>
        <w:tc>
          <w:tcPr>
            <w:tcW w:w="3510" w:type="dxa"/>
            <w:shd w:val="clear" w:color="auto" w:fill="auto"/>
          </w:tcPr>
          <w:p w14:paraId="6A222A90" w14:textId="77777777" w:rsidR="008559A6" w:rsidRDefault="008559A6" w:rsidP="004A40F7"/>
        </w:tc>
        <w:tc>
          <w:tcPr>
            <w:tcW w:w="2250" w:type="dxa"/>
            <w:shd w:val="clear" w:color="auto" w:fill="auto"/>
          </w:tcPr>
          <w:p w14:paraId="3BC7D577" w14:textId="77777777" w:rsidR="008559A6" w:rsidRDefault="008559A6" w:rsidP="004A40F7"/>
        </w:tc>
      </w:tr>
      <w:tr w:rsidR="008559A6" w14:paraId="414D3E8F" w14:textId="77777777" w:rsidTr="004A40F7">
        <w:tc>
          <w:tcPr>
            <w:tcW w:w="1890" w:type="dxa"/>
            <w:shd w:val="clear" w:color="auto" w:fill="auto"/>
          </w:tcPr>
          <w:p w14:paraId="67BDA40B" w14:textId="77777777" w:rsidR="008559A6" w:rsidRDefault="008559A6" w:rsidP="004A40F7">
            <w:r>
              <w:t>Initial Review</w:t>
            </w:r>
          </w:p>
        </w:tc>
        <w:tc>
          <w:tcPr>
            <w:tcW w:w="3510" w:type="dxa"/>
            <w:shd w:val="clear" w:color="auto" w:fill="auto"/>
          </w:tcPr>
          <w:p w14:paraId="714B2969" w14:textId="44482E46" w:rsidR="008559A6" w:rsidRDefault="008559A6" w:rsidP="004A40F7">
            <w:r>
              <w:t xml:space="preserve">Expedited </w:t>
            </w:r>
          </w:p>
        </w:tc>
        <w:tc>
          <w:tcPr>
            <w:tcW w:w="2250" w:type="dxa"/>
            <w:shd w:val="clear" w:color="auto" w:fill="auto"/>
          </w:tcPr>
          <w:p w14:paraId="6B80A52A" w14:textId="290CDAB6" w:rsidR="008559A6" w:rsidRDefault="008559A6" w:rsidP="004A40F7">
            <w:r>
              <w:t>$</w:t>
            </w:r>
            <w:r w:rsidR="00D80E15">
              <w:t>2</w:t>
            </w:r>
            <w:r>
              <w:t>000</w:t>
            </w:r>
          </w:p>
        </w:tc>
      </w:tr>
      <w:tr w:rsidR="008559A6" w14:paraId="1A5A0392" w14:textId="77777777" w:rsidTr="004A40F7">
        <w:tc>
          <w:tcPr>
            <w:tcW w:w="1890" w:type="dxa"/>
            <w:shd w:val="clear" w:color="auto" w:fill="auto"/>
          </w:tcPr>
          <w:p w14:paraId="4B65C8FE" w14:textId="77777777" w:rsidR="008559A6" w:rsidRDefault="008559A6" w:rsidP="004A40F7">
            <w:r>
              <w:t>Renewal</w:t>
            </w:r>
          </w:p>
        </w:tc>
        <w:tc>
          <w:tcPr>
            <w:tcW w:w="3510" w:type="dxa"/>
            <w:shd w:val="clear" w:color="auto" w:fill="auto"/>
          </w:tcPr>
          <w:p w14:paraId="1ADC9856" w14:textId="77777777" w:rsidR="008559A6" w:rsidRDefault="008559A6" w:rsidP="004A40F7">
            <w:r>
              <w:t xml:space="preserve">Expedited </w:t>
            </w:r>
          </w:p>
        </w:tc>
        <w:tc>
          <w:tcPr>
            <w:tcW w:w="2250" w:type="dxa"/>
            <w:shd w:val="clear" w:color="auto" w:fill="auto"/>
          </w:tcPr>
          <w:p w14:paraId="1BCCC97A" w14:textId="15E712FB" w:rsidR="008559A6" w:rsidRDefault="008559A6" w:rsidP="004A40F7">
            <w:r>
              <w:t>$</w:t>
            </w:r>
            <w:r w:rsidR="00D80E15">
              <w:t>10</w:t>
            </w:r>
            <w:r>
              <w:t>00</w:t>
            </w:r>
          </w:p>
        </w:tc>
      </w:tr>
    </w:tbl>
    <w:p w14:paraId="7BDAE0FF" w14:textId="77777777" w:rsidR="008559A6" w:rsidRPr="008559A6" w:rsidRDefault="008559A6" w:rsidP="008559A6">
      <w:pPr>
        <w:pStyle w:val="NoSpacing"/>
        <w:rPr>
          <w:b/>
          <w:sz w:val="26"/>
          <w:szCs w:val="26"/>
        </w:rPr>
      </w:pPr>
      <w:r>
        <w:br/>
      </w:r>
      <w:r w:rsidRPr="008559A6">
        <w:rPr>
          <w:b/>
          <w:sz w:val="26"/>
          <w:szCs w:val="26"/>
        </w:rPr>
        <w:t>Considerations:</w:t>
      </w:r>
    </w:p>
    <w:p w14:paraId="16F6A11B" w14:textId="77777777" w:rsidR="00975FD2" w:rsidRDefault="008559A6" w:rsidP="008559A6">
      <w:pPr>
        <w:pStyle w:val="NoSpacing"/>
      </w:pPr>
      <w:r>
        <w:br/>
      </w:r>
      <w:r w:rsidRPr="008559A6">
        <w:t xml:space="preserve">The IRB will not review the application until the industry sponsored fee is paid via the IRB Fee Sheet or check.  If you have any questions, contact </w:t>
      </w:r>
      <w:r w:rsidR="00975FD2">
        <w:t>Angie Coldren</w:t>
      </w:r>
      <w:r w:rsidRPr="008559A6">
        <w:t xml:space="preserve">, Research Conduct and Compliance Business Manager via email to </w:t>
      </w:r>
      <w:hyperlink r:id="rId6" w:history="1">
        <w:r w:rsidR="00975FD2" w:rsidRPr="00D81ED5">
          <w:rPr>
            <w:rStyle w:val="Hyperlink"/>
          </w:rPr>
          <w:t>amp8@pitt.edu</w:t>
        </w:r>
      </w:hyperlink>
      <w:r w:rsidR="00975FD2">
        <w:t>.</w:t>
      </w:r>
    </w:p>
    <w:p w14:paraId="0E8F5610" w14:textId="77777777" w:rsidR="008559A6" w:rsidRDefault="008559A6" w:rsidP="008559A6">
      <w:pPr>
        <w:pStyle w:val="NoSpacing"/>
      </w:pPr>
    </w:p>
    <w:sectPr w:rsidR="008559A6" w:rsidSect="000F4D06">
      <w:headerReference w:type="default" r:id="rId7"/>
      <w:footerReference w:type="default" r:id="rId8"/>
      <w:pgSz w:w="12240" w:h="15840"/>
      <w:pgMar w:top="1440" w:right="1440" w:bottom="201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6C9D5" w14:textId="77777777" w:rsidR="008559A6" w:rsidRDefault="008559A6" w:rsidP="008559A6">
      <w:pPr>
        <w:spacing w:after="0" w:line="240" w:lineRule="auto"/>
      </w:pPr>
      <w:r>
        <w:separator/>
      </w:r>
    </w:p>
  </w:endnote>
  <w:endnote w:type="continuationSeparator" w:id="0">
    <w:p w14:paraId="12FAF065" w14:textId="77777777" w:rsidR="008559A6" w:rsidRDefault="008559A6" w:rsidP="0085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1589609666"/>
      <w:docPartObj>
        <w:docPartGallery w:val="Page Numbers (Bottom of Page)"/>
        <w:docPartUnique/>
      </w:docPartObj>
    </w:sdtPr>
    <w:sdtEndPr>
      <w:rPr>
        <w:sz w:val="16"/>
        <w:szCs w:val="16"/>
      </w:rPr>
    </w:sdtEndPr>
    <w:sdtContent>
      <w:sdt>
        <w:sdtPr>
          <w:rPr>
            <w:rFonts w:cs="Arial"/>
          </w:rPr>
          <w:id w:val="860082579"/>
          <w:docPartObj>
            <w:docPartGallery w:val="Page Numbers (Top of Page)"/>
            <w:docPartUnique/>
          </w:docPartObj>
        </w:sdtPr>
        <w:sdtEndPr>
          <w:rPr>
            <w:sz w:val="16"/>
            <w:szCs w:val="16"/>
          </w:rPr>
        </w:sdtEndPr>
        <w:sdtContent>
          <w:p w14:paraId="37FBAF52" w14:textId="77777777" w:rsidR="000F4D06" w:rsidRPr="006F0597" w:rsidRDefault="000F4D06" w:rsidP="000F4D06">
            <w:pPr>
              <w:pStyle w:val="Footer"/>
              <w:jc w:val="center"/>
              <w:rPr>
                <w:rFonts w:cs="Arial"/>
                <w:sz w:val="16"/>
                <w:szCs w:val="16"/>
              </w:rPr>
            </w:pPr>
            <w:r w:rsidRPr="006F0597">
              <w:rPr>
                <w:rFonts w:cs="Arial"/>
                <w:sz w:val="16"/>
                <w:szCs w:val="16"/>
              </w:rPr>
              <w:t xml:space="preserve">University of Pittsburgh </w:t>
            </w:r>
            <w:r w:rsidRPr="006F0597">
              <w:rPr>
                <w:rFonts w:cs="Arial"/>
                <w:color w:val="666699"/>
                <w:sz w:val="16"/>
                <w:szCs w:val="16"/>
              </w:rPr>
              <w:sym w:font="Wingdings" w:char="F0A7"/>
            </w:r>
            <w:r w:rsidRPr="006F0597">
              <w:rPr>
                <w:rFonts w:cs="Arial"/>
                <w:color w:val="666699"/>
                <w:sz w:val="16"/>
                <w:szCs w:val="16"/>
              </w:rPr>
              <w:t xml:space="preserve"> </w:t>
            </w:r>
            <w:r w:rsidRPr="006F0597">
              <w:rPr>
                <w:rFonts w:cs="Arial"/>
                <w:sz w:val="16"/>
                <w:szCs w:val="16"/>
              </w:rPr>
              <w:t xml:space="preserve">Institutional Review Board </w:t>
            </w:r>
            <w:r w:rsidRPr="006F0597">
              <w:rPr>
                <w:rFonts w:cs="Arial"/>
                <w:color w:val="666699"/>
                <w:sz w:val="16"/>
                <w:szCs w:val="16"/>
              </w:rPr>
              <w:sym w:font="Wingdings" w:char="F0A7"/>
            </w:r>
            <w:r w:rsidRPr="006F0597">
              <w:rPr>
                <w:rFonts w:cs="Arial"/>
                <w:color w:val="666699"/>
                <w:sz w:val="16"/>
                <w:szCs w:val="16"/>
              </w:rPr>
              <w:t xml:space="preserve"> </w:t>
            </w:r>
            <w:r w:rsidRPr="006F0597">
              <w:rPr>
                <w:rFonts w:cs="Arial"/>
                <w:sz w:val="16"/>
                <w:szCs w:val="16"/>
              </w:rPr>
              <w:t xml:space="preserve">3500 Fifth Avenue </w:t>
            </w:r>
            <w:r w:rsidRPr="006F0597">
              <w:rPr>
                <w:rFonts w:cs="Arial"/>
                <w:color w:val="666699"/>
                <w:sz w:val="16"/>
                <w:szCs w:val="16"/>
              </w:rPr>
              <w:sym w:font="Wingdings" w:char="F0A7"/>
            </w:r>
            <w:r w:rsidRPr="006F0597">
              <w:rPr>
                <w:rFonts w:cs="Arial"/>
                <w:sz w:val="16"/>
                <w:szCs w:val="16"/>
              </w:rPr>
              <w:t xml:space="preserve"> Phone 412-383-1480 </w:t>
            </w:r>
            <w:hyperlink r:id="rId1" w:history="1">
              <w:r w:rsidRPr="006F0597">
                <w:rPr>
                  <w:rStyle w:val="Hyperlink"/>
                  <w:rFonts w:cs="Arial"/>
                  <w:sz w:val="16"/>
                  <w:szCs w:val="16"/>
                </w:rPr>
                <w:t>www.irb.pitt.edu</w:t>
              </w:r>
            </w:hyperlink>
            <w:r w:rsidRPr="006F0597">
              <w:rPr>
                <w:rFonts w:cs="Arial"/>
                <w:sz w:val="16"/>
                <w:szCs w:val="16"/>
              </w:rPr>
              <w:t xml:space="preserve"> </w:t>
            </w:r>
          </w:p>
          <w:p w14:paraId="4D81BC06" w14:textId="77777777" w:rsidR="000F4D06" w:rsidRPr="006F0597" w:rsidRDefault="000F4D06" w:rsidP="000F4D06">
            <w:pPr>
              <w:pStyle w:val="Footer"/>
              <w:jc w:val="right"/>
              <w:rPr>
                <w:rFonts w:cs="Arial"/>
                <w:bCs/>
                <w:sz w:val="16"/>
                <w:szCs w:val="16"/>
              </w:rPr>
            </w:pPr>
            <w:r w:rsidRPr="006F0597">
              <w:rPr>
                <w:rFonts w:cs="Arial"/>
                <w:bCs/>
                <w:sz w:val="16"/>
                <w:szCs w:val="16"/>
              </w:rPr>
              <w:fldChar w:fldCharType="begin"/>
            </w:r>
            <w:r w:rsidRPr="006F0597">
              <w:rPr>
                <w:rFonts w:cs="Arial"/>
                <w:bCs/>
                <w:sz w:val="16"/>
                <w:szCs w:val="16"/>
              </w:rPr>
              <w:instrText xml:space="preserve"> PAGE </w:instrText>
            </w:r>
            <w:r w:rsidRPr="006F0597">
              <w:rPr>
                <w:rFonts w:cs="Arial"/>
                <w:bCs/>
                <w:sz w:val="16"/>
                <w:szCs w:val="16"/>
              </w:rPr>
              <w:fldChar w:fldCharType="separate"/>
            </w:r>
            <w:r w:rsidR="00975FD2">
              <w:rPr>
                <w:rFonts w:cs="Arial"/>
                <w:bCs/>
                <w:noProof/>
                <w:sz w:val="16"/>
                <w:szCs w:val="16"/>
              </w:rPr>
              <w:t>1</w:t>
            </w:r>
            <w:r w:rsidRPr="006F0597">
              <w:rPr>
                <w:rFonts w:cs="Arial"/>
                <w:bCs/>
                <w:sz w:val="16"/>
                <w:szCs w:val="16"/>
              </w:rPr>
              <w:fldChar w:fldCharType="end"/>
            </w:r>
            <w:r w:rsidRPr="006F0597">
              <w:rPr>
                <w:rFonts w:cs="Arial"/>
                <w:sz w:val="16"/>
                <w:szCs w:val="16"/>
              </w:rPr>
              <w:t xml:space="preserve"> of </w:t>
            </w:r>
            <w:r w:rsidRPr="006F0597">
              <w:rPr>
                <w:rFonts w:cs="Arial"/>
                <w:bCs/>
                <w:sz w:val="16"/>
                <w:szCs w:val="16"/>
              </w:rPr>
              <w:fldChar w:fldCharType="begin"/>
            </w:r>
            <w:r w:rsidRPr="006F0597">
              <w:rPr>
                <w:rFonts w:cs="Arial"/>
                <w:bCs/>
                <w:sz w:val="16"/>
                <w:szCs w:val="16"/>
              </w:rPr>
              <w:instrText xml:space="preserve"> NUMPAGES  </w:instrText>
            </w:r>
            <w:r w:rsidRPr="006F0597">
              <w:rPr>
                <w:rFonts w:cs="Arial"/>
                <w:bCs/>
                <w:sz w:val="16"/>
                <w:szCs w:val="16"/>
              </w:rPr>
              <w:fldChar w:fldCharType="separate"/>
            </w:r>
            <w:r w:rsidR="00975FD2">
              <w:rPr>
                <w:rFonts w:cs="Arial"/>
                <w:bCs/>
                <w:noProof/>
                <w:sz w:val="16"/>
                <w:szCs w:val="16"/>
              </w:rPr>
              <w:t>1</w:t>
            </w:r>
            <w:r w:rsidRPr="006F0597">
              <w:rPr>
                <w:rFonts w:cs="Arial"/>
                <w:bCs/>
                <w:sz w:val="16"/>
                <w:szCs w:val="16"/>
              </w:rPr>
              <w:fldChar w:fldCharType="end"/>
            </w:r>
          </w:p>
          <w:p w14:paraId="051706DA" w14:textId="77777777" w:rsidR="000F4D06" w:rsidRPr="006F0597" w:rsidRDefault="000F4D06" w:rsidP="000F4D06">
            <w:pPr>
              <w:pStyle w:val="Footer"/>
              <w:rPr>
                <w:rFonts w:cs="Arial"/>
                <w:sz w:val="16"/>
                <w:szCs w:val="16"/>
              </w:rPr>
            </w:pPr>
            <w:r w:rsidRPr="006F0597">
              <w:rPr>
                <w:rFonts w:cs="Arial"/>
                <w:bCs/>
                <w:sz w:val="16"/>
                <w:szCs w:val="16"/>
              </w:rPr>
              <w:t xml:space="preserve">v. </w:t>
            </w:r>
            <w:r w:rsidR="00975FD2">
              <w:rPr>
                <w:rFonts w:cs="Arial"/>
                <w:bCs/>
                <w:sz w:val="16"/>
                <w:szCs w:val="16"/>
              </w:rPr>
              <w:t>2/18/2016</w:t>
            </w:r>
          </w:p>
        </w:sdtContent>
      </w:sdt>
    </w:sdtContent>
  </w:sdt>
  <w:p w14:paraId="5F6E9669" w14:textId="77777777" w:rsidR="000F4D06" w:rsidRDefault="000F4D06">
    <w:pPr>
      <w:pStyle w:val="Footer"/>
    </w:pPr>
  </w:p>
  <w:p w14:paraId="308D2358" w14:textId="77777777" w:rsidR="000F4D06" w:rsidRDefault="000F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7082" w14:textId="77777777" w:rsidR="008559A6" w:rsidRDefault="008559A6" w:rsidP="008559A6">
      <w:pPr>
        <w:spacing w:after="0" w:line="240" w:lineRule="auto"/>
      </w:pPr>
      <w:r>
        <w:separator/>
      </w:r>
    </w:p>
  </w:footnote>
  <w:footnote w:type="continuationSeparator" w:id="0">
    <w:p w14:paraId="7A3310C9" w14:textId="77777777" w:rsidR="008559A6" w:rsidRDefault="008559A6" w:rsidP="0085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AE83" w14:textId="77777777" w:rsidR="000F4D06" w:rsidRDefault="000F4D06">
    <w:pPr>
      <w:pStyle w:val="Header"/>
    </w:pPr>
    <w:r>
      <w:rPr>
        <w:noProof/>
      </w:rPr>
      <w:drawing>
        <wp:inline distT="0" distB="0" distL="0" distR="0" wp14:anchorId="6D5BB916" wp14:editId="72D87A13">
          <wp:extent cx="5943600" cy="8724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nce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72490"/>
                  </a:xfrm>
                  <a:prstGeom prst="rect">
                    <a:avLst/>
                  </a:prstGeom>
                </pic:spPr>
              </pic:pic>
            </a:graphicData>
          </a:graphic>
        </wp:inline>
      </w:drawing>
    </w:r>
  </w:p>
  <w:p w14:paraId="0553B4CE" w14:textId="77777777" w:rsidR="008559A6" w:rsidRDefault="00855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9A6"/>
    <w:rsid w:val="000F4D06"/>
    <w:rsid w:val="008559A6"/>
    <w:rsid w:val="00876600"/>
    <w:rsid w:val="00903DCF"/>
    <w:rsid w:val="00975FD2"/>
    <w:rsid w:val="00A522B3"/>
    <w:rsid w:val="00D5717F"/>
    <w:rsid w:val="00D80E15"/>
    <w:rsid w:val="00E3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609B98"/>
  <w15:docId w15:val="{F2F9D9A8-CFD5-4C33-995F-5BF79466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9A6"/>
  </w:style>
  <w:style w:type="paragraph" w:styleId="Heading1">
    <w:name w:val="heading 1"/>
    <w:basedOn w:val="Normal"/>
    <w:next w:val="Normal"/>
    <w:link w:val="Heading1Char"/>
    <w:uiPriority w:val="9"/>
    <w:qFormat/>
    <w:rsid w:val="00903D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3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3DCF"/>
    <w:pPr>
      <w:spacing w:after="0" w:line="240" w:lineRule="auto"/>
    </w:pPr>
  </w:style>
  <w:style w:type="character" w:customStyle="1" w:styleId="Heading1Char">
    <w:name w:val="Heading 1 Char"/>
    <w:basedOn w:val="DefaultParagraphFont"/>
    <w:link w:val="Heading1"/>
    <w:uiPriority w:val="9"/>
    <w:rsid w:val="00903DC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03D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DC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03DC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5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9A6"/>
    <w:rPr>
      <w:rFonts w:ascii="Tahoma" w:hAnsi="Tahoma" w:cs="Tahoma"/>
      <w:sz w:val="16"/>
      <w:szCs w:val="16"/>
    </w:rPr>
  </w:style>
  <w:style w:type="paragraph" w:styleId="Header">
    <w:name w:val="header"/>
    <w:basedOn w:val="Normal"/>
    <w:link w:val="HeaderChar"/>
    <w:uiPriority w:val="99"/>
    <w:unhideWhenUsed/>
    <w:rsid w:val="00855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9A6"/>
  </w:style>
  <w:style w:type="paragraph" w:styleId="Footer">
    <w:name w:val="footer"/>
    <w:basedOn w:val="Normal"/>
    <w:link w:val="FooterChar"/>
    <w:uiPriority w:val="99"/>
    <w:unhideWhenUsed/>
    <w:rsid w:val="00855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9A6"/>
  </w:style>
  <w:style w:type="table" w:styleId="TableGrid">
    <w:name w:val="Table Grid"/>
    <w:basedOn w:val="TableNormal"/>
    <w:uiPriority w:val="59"/>
    <w:rsid w:val="0085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5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p8@pit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rb.pit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Orndoff, Patricia</dc:creator>
  <cp:lastModifiedBy>Orndoff, Patricia Ann</cp:lastModifiedBy>
  <cp:revision>2</cp:revision>
  <cp:lastPrinted>2014-05-12T13:33:00Z</cp:lastPrinted>
  <dcterms:created xsi:type="dcterms:W3CDTF">2019-02-28T13:17:00Z</dcterms:created>
  <dcterms:modified xsi:type="dcterms:W3CDTF">2019-02-28T13:17:00Z</dcterms:modified>
</cp:coreProperties>
</file>